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A518A8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lang w:val="en-US"/>
        </w:rPr>
        <w:t>Report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A518A8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A518A8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CUSTF063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A518A8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Report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AA7928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A7928">
              <w:rPr>
                <w:rFonts w:cs="Arial"/>
                <w:sz w:val="22"/>
                <w:szCs w:val="22"/>
              </w:rPr>
            </w:r>
            <w:r w:rsidR="00AA792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A7928">
              <w:rPr>
                <w:rFonts w:cs="Arial"/>
                <w:sz w:val="22"/>
                <w:szCs w:val="22"/>
              </w:rPr>
            </w:r>
            <w:r w:rsidR="00AA792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A7928">
              <w:rPr>
                <w:rFonts w:cs="Arial"/>
                <w:sz w:val="22"/>
                <w:szCs w:val="22"/>
              </w:rPr>
            </w:r>
            <w:r w:rsidR="00AA7928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A518A8" w:rsidP="00A518A8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9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A518A8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61124412" w:history="1">
        <w:r w:rsidR="00A518A8" w:rsidRPr="00F229F2">
          <w:rPr>
            <w:rStyle w:val="Hyperlink"/>
            <w:rFonts w:cs="Arial"/>
            <w:noProof/>
          </w:rPr>
          <w:t>1</w:t>
        </w:r>
        <w:r w:rsidR="00A518A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A518A8" w:rsidRPr="00F229F2">
          <w:rPr>
            <w:rStyle w:val="Hyperlink"/>
            <w:rFonts w:cs="Arial"/>
            <w:noProof/>
          </w:rPr>
          <w:t>Introduction</w:t>
        </w:r>
        <w:r w:rsidR="00A518A8">
          <w:rPr>
            <w:noProof/>
            <w:webHidden/>
          </w:rPr>
          <w:tab/>
        </w:r>
        <w:r w:rsidR="00A518A8">
          <w:rPr>
            <w:noProof/>
            <w:webHidden/>
          </w:rPr>
          <w:fldChar w:fldCharType="begin"/>
        </w:r>
        <w:r w:rsidR="00A518A8">
          <w:rPr>
            <w:noProof/>
            <w:webHidden/>
          </w:rPr>
          <w:instrText xml:space="preserve"> PAGEREF _Toc461124412 \h </w:instrText>
        </w:r>
        <w:r w:rsidR="00A518A8">
          <w:rPr>
            <w:noProof/>
            <w:webHidden/>
          </w:rPr>
        </w:r>
        <w:r w:rsidR="00A518A8">
          <w:rPr>
            <w:noProof/>
            <w:webHidden/>
          </w:rPr>
          <w:fldChar w:fldCharType="separate"/>
        </w:r>
        <w:r w:rsidR="00A518A8">
          <w:rPr>
            <w:noProof/>
            <w:webHidden/>
          </w:rPr>
          <w:t>5</w:t>
        </w:r>
        <w:r w:rsidR="00A518A8">
          <w:rPr>
            <w:noProof/>
            <w:webHidden/>
          </w:rPr>
          <w:fldChar w:fldCharType="end"/>
        </w:r>
      </w:hyperlink>
    </w:p>
    <w:p w:rsidR="00A518A8" w:rsidRDefault="00A518A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61124413" w:history="1">
        <w:r w:rsidRPr="00F229F2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F229F2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_Toc461124413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8A8" w:rsidRDefault="00A518A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61124414" w:history="1">
        <w:r w:rsidRPr="00F229F2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F229F2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_Toc461124414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8A8" w:rsidRDefault="00A518A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61124415" w:history="1">
        <w:r w:rsidRPr="00F229F2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F229F2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_Toc461124415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18A8" w:rsidRDefault="00A518A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61124416" w:history="1">
        <w:r w:rsidRPr="00F229F2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F229F2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_Toc461124416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18A8" w:rsidRDefault="00A518A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61124417" w:history="1">
        <w:r w:rsidRPr="00F229F2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F229F2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_Toc461124417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61124412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CC71AA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</w:t>
      </w:r>
      <w:r w:rsidR="00A518A8">
        <w:rPr>
          <w:lang w:val="de-DE" w:eastAsia="x-none"/>
        </w:rPr>
        <w:t>CI SLI report change</w:t>
      </w:r>
    </w:p>
    <w:p w:rsidR="006E79F0" w:rsidRDefault="004148DD" w:rsidP="006E79F0">
      <w:pPr>
        <w:pStyle w:val="Heading1"/>
      </w:pPr>
      <w:bookmarkStart w:id="6" w:name="_Toc461124413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61124414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A518A8" w:rsidP="007B27A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CUSTF063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A518A8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  <w:t>Report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A518A8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BAE_BD_015</w:t>
            </w:r>
          </w:p>
        </w:tc>
      </w:tr>
      <w:tr w:rsidR="00A518A8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518A8" w:rsidRDefault="00A518A8" w:rsidP="007B27AE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518A8" w:rsidRDefault="00A518A8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518A8" w:rsidRDefault="00A518A8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8" w:name="_Toc461124415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518A8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Report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518A8" w:rsidP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Cisli120011000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518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518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6112441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A518A8" w:rsidP="004858F7">
      <w:pPr>
        <w:rPr>
          <w:b/>
        </w:rPr>
      </w:pPr>
      <w:r>
        <w:rPr>
          <w:b/>
        </w:rPr>
        <w:t>N.A.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6112441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28" w:rsidRDefault="00AA7928">
      <w:r>
        <w:separator/>
      </w:r>
    </w:p>
  </w:endnote>
  <w:endnote w:type="continuationSeparator" w:id="0">
    <w:p w:rsidR="00AA7928" w:rsidRDefault="00AA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28" w:rsidRDefault="00AA7928">
      <w:r>
        <w:separator/>
      </w:r>
    </w:p>
  </w:footnote>
  <w:footnote w:type="continuationSeparator" w:id="0">
    <w:p w:rsidR="00AA7928" w:rsidRDefault="00AA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18A8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A7928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948F-A0C3-49F5-9C37-DFC4ABE7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2988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41</cp:revision>
  <cp:lastPrinted>2012-01-10T06:51:00Z</cp:lastPrinted>
  <dcterms:created xsi:type="dcterms:W3CDTF">2014-07-08T07:47:00Z</dcterms:created>
  <dcterms:modified xsi:type="dcterms:W3CDTF">2016-09-08T13:28:00Z</dcterms:modified>
</cp:coreProperties>
</file>